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94BA" w14:textId="213134BE" w:rsidR="002A45CE" w:rsidRPr="003B016B" w:rsidRDefault="003F6CC6" w:rsidP="00AB7BDB">
      <w:pPr>
        <w:pStyle w:val="ProsperHeading1"/>
      </w:pPr>
      <w:bookmarkStart w:id="0" w:name="_Hlk106789661"/>
      <w:r w:rsidRPr="006F2F69">
        <w:t xml:space="preserve">Knowing when to cut your losses </w:t>
      </w:r>
      <w:proofErr w:type="spellStart"/>
      <w:r w:rsidRPr="006F2F69">
        <w:t>p.s.</w:t>
      </w:r>
      <w:proofErr w:type="spellEnd"/>
      <w:r w:rsidRPr="006F2F69">
        <w:t xml:space="preserve"> it's not a waste</w:t>
      </w:r>
      <w:r>
        <w:t xml:space="preserve"> </w:t>
      </w:r>
      <w:bookmarkEnd w:id="0"/>
    </w:p>
    <w:p w14:paraId="4900A13A" w14:textId="2DD6B6D7" w:rsidR="002A45CE" w:rsidRDefault="002A45CE" w:rsidP="00AB7BDB">
      <w:pPr>
        <w:pStyle w:val="ProsperHeading2"/>
      </w:pPr>
      <w:r w:rsidRPr="003B016B">
        <w:t>Su</w:t>
      </w:r>
      <w:r w:rsidR="003F6CC6">
        <w:t>nk cost fallacy</w:t>
      </w:r>
    </w:p>
    <w:p w14:paraId="0A65BD63" w14:textId="7C1F386E" w:rsidR="008366FB" w:rsidRDefault="008366FB" w:rsidP="00AB7BDB">
      <w:pPr>
        <w:pStyle w:val="ProsperHeading2"/>
      </w:pPr>
    </w:p>
    <w:p w14:paraId="54C4E060" w14:textId="1DE620F3" w:rsidR="008366FB" w:rsidRDefault="005F606F" w:rsidP="00AB7BDB">
      <w:pPr>
        <w:pStyle w:val="ProsperHeading2"/>
      </w:pPr>
      <w:r>
        <w:t>Setting your own trigger point</w:t>
      </w:r>
    </w:p>
    <w:p w14:paraId="58B3953A" w14:textId="77777777" w:rsidR="005F606F" w:rsidRDefault="005F606F" w:rsidP="005F606F">
      <w:pPr>
        <w:rPr>
          <w:rFonts w:ascii="Arial" w:hAnsi="Arial" w:cs="Arial"/>
        </w:rPr>
      </w:pPr>
    </w:p>
    <w:p w14:paraId="3DC07E1F" w14:textId="0954BD43" w:rsidR="005F606F" w:rsidRDefault="005F606F" w:rsidP="005F606F">
      <w:pPr>
        <w:rPr>
          <w:rFonts w:ascii="Arial" w:hAnsi="Arial" w:cs="Arial"/>
        </w:rPr>
      </w:pPr>
      <w:r>
        <w:rPr>
          <w:rFonts w:ascii="Arial" w:hAnsi="Arial" w:cs="Arial"/>
        </w:rPr>
        <w:t xml:space="preserve">A trigger point is analogous with a gambler setting themselves a limit or folding, or a mountaineer setting themselves a point at which they know they need to turn back. Setting these points or changing direction isn’t a waste of effort or a failure. </w:t>
      </w:r>
      <w:r w:rsidRPr="008F5217">
        <w:rPr>
          <w:rFonts w:ascii="Arial" w:hAnsi="Arial" w:cs="Arial"/>
        </w:rPr>
        <w:t>In these analogous examples the consequences of not setting or ignoring their trigger points can be catastrophic.</w:t>
      </w:r>
    </w:p>
    <w:p w14:paraId="12ED5789" w14:textId="77777777" w:rsidR="005F606F" w:rsidRDefault="005F606F" w:rsidP="005F606F">
      <w:pPr>
        <w:rPr>
          <w:rFonts w:ascii="Arial" w:hAnsi="Arial" w:cs="Arial"/>
        </w:rPr>
      </w:pPr>
    </w:p>
    <w:p w14:paraId="61F53246" w14:textId="77777777" w:rsidR="005F606F" w:rsidRDefault="005F606F" w:rsidP="005F606F">
      <w:pPr>
        <w:rPr>
          <w:rFonts w:ascii="Arial" w:hAnsi="Arial" w:cs="Arial"/>
        </w:rPr>
      </w:pPr>
      <w:r w:rsidRPr="00D51203">
        <w:rPr>
          <w:rFonts w:ascii="Arial" w:hAnsi="Arial" w:cs="Arial"/>
        </w:rPr>
        <w:t>To set your own career trigger point you need to set a clear</w:t>
      </w:r>
      <w:r>
        <w:rPr>
          <w:rFonts w:ascii="Arial" w:hAnsi="Arial" w:cs="Arial"/>
        </w:rPr>
        <w:t>, measurable,</w:t>
      </w:r>
      <w:r w:rsidRPr="00D51203">
        <w:rPr>
          <w:rFonts w:ascii="Arial" w:hAnsi="Arial" w:cs="Arial"/>
        </w:rPr>
        <w:t xml:space="preserve"> threshold that once (or if) it’s met you change your career direction. </w:t>
      </w:r>
    </w:p>
    <w:p w14:paraId="2AF7B70E" w14:textId="77777777" w:rsidR="005F606F" w:rsidRDefault="005F606F" w:rsidP="005F606F">
      <w:pPr>
        <w:rPr>
          <w:rFonts w:ascii="Arial" w:hAnsi="Arial" w:cs="Arial"/>
        </w:rPr>
      </w:pPr>
    </w:p>
    <w:p w14:paraId="1CB34734" w14:textId="7C364F93" w:rsidR="005F606F" w:rsidRDefault="005F606F" w:rsidP="005F606F">
      <w:pPr>
        <w:rPr>
          <w:rFonts w:ascii="Arial" w:hAnsi="Arial" w:cs="Arial"/>
        </w:rPr>
      </w:pPr>
      <w:r>
        <w:rPr>
          <w:rFonts w:ascii="Arial" w:hAnsi="Arial" w:cs="Arial"/>
        </w:rPr>
        <w:t>If we stick with the analogy of gambling, a trigger point may be ‘once I’ve lost £50 at roulette, I’ll leave the casino and go and do something else’. The something else isn’t the important part of the statement, what is crucial is setting and sticking to the threshold point that you’ve set.</w:t>
      </w:r>
    </w:p>
    <w:p w14:paraId="4A97C325" w14:textId="3B264F50" w:rsidR="005F606F" w:rsidRDefault="005F606F" w:rsidP="005F606F">
      <w:pPr>
        <w:rPr>
          <w:rFonts w:ascii="Arial" w:hAnsi="Arial" w:cs="Arial"/>
        </w:rPr>
      </w:pPr>
    </w:p>
    <w:p w14:paraId="263AE9C8" w14:textId="77777777" w:rsidR="005F606F" w:rsidRPr="005F606F" w:rsidRDefault="005F606F" w:rsidP="005F606F">
      <w:pPr>
        <w:rPr>
          <w:rFonts w:ascii="Arial" w:hAnsi="Arial" w:cs="Arial"/>
        </w:rPr>
      </w:pPr>
      <w:r w:rsidRPr="005F606F">
        <w:rPr>
          <w:rFonts w:ascii="Arial" w:hAnsi="Arial" w:cs="Arial"/>
        </w:rPr>
        <w:t xml:space="preserve">If we consider a hypothetic postdoc now setting themselves a career trigger point of when they’ll stop pursuing a career in academia the trigger point statements could look something like – </w:t>
      </w:r>
    </w:p>
    <w:p w14:paraId="3D276E5B" w14:textId="77777777" w:rsidR="005F606F" w:rsidRPr="005F606F" w:rsidRDefault="005F606F" w:rsidP="005F606F">
      <w:pPr>
        <w:pStyle w:val="ListParagraph"/>
        <w:numPr>
          <w:ilvl w:val="0"/>
          <w:numId w:val="6"/>
        </w:numPr>
        <w:rPr>
          <w:rFonts w:ascii="Arial" w:hAnsi="Arial" w:cs="Arial"/>
          <w:sz w:val="24"/>
          <w:szCs w:val="24"/>
        </w:rPr>
      </w:pPr>
      <w:r w:rsidRPr="005F606F">
        <w:rPr>
          <w:rFonts w:ascii="Arial" w:hAnsi="Arial" w:cs="Arial"/>
          <w:sz w:val="24"/>
          <w:szCs w:val="24"/>
        </w:rPr>
        <w:t>‘I’ll submit [number] of fellowship applications and if I’m not successful I’ll start to look for career opportunities beyond academia’</w:t>
      </w:r>
    </w:p>
    <w:p w14:paraId="2CC16496" w14:textId="77777777" w:rsidR="005F606F" w:rsidRPr="005F606F" w:rsidRDefault="005F606F" w:rsidP="005F606F">
      <w:pPr>
        <w:numPr>
          <w:ilvl w:val="0"/>
          <w:numId w:val="4"/>
        </w:numPr>
        <w:spacing w:after="160" w:line="259" w:lineRule="auto"/>
        <w:rPr>
          <w:rFonts w:ascii="Arial" w:hAnsi="Arial" w:cs="Arial"/>
        </w:rPr>
      </w:pPr>
      <w:r w:rsidRPr="005F606F">
        <w:rPr>
          <w:rFonts w:ascii="Arial" w:hAnsi="Arial" w:cs="Arial"/>
        </w:rPr>
        <w:t>‘I’ll try to get a tenure-tracked role for [number] of years, if I’ve not achieved this by [year] I’ll do something else’</w:t>
      </w:r>
    </w:p>
    <w:p w14:paraId="123CABEE" w14:textId="77777777" w:rsidR="005F606F" w:rsidRPr="005F606F" w:rsidRDefault="005F606F" w:rsidP="005F606F">
      <w:pPr>
        <w:numPr>
          <w:ilvl w:val="0"/>
          <w:numId w:val="5"/>
        </w:numPr>
        <w:spacing w:after="160" w:line="259" w:lineRule="auto"/>
        <w:rPr>
          <w:rFonts w:ascii="Arial" w:hAnsi="Arial" w:cs="Arial"/>
        </w:rPr>
      </w:pPr>
      <w:r w:rsidRPr="005F606F">
        <w:rPr>
          <w:rFonts w:ascii="Arial" w:hAnsi="Arial" w:cs="Arial"/>
        </w:rPr>
        <w:t>‘If I haven’t got a permanent academic role by [month/year] I’ll look elsewhere for a job’</w:t>
      </w:r>
    </w:p>
    <w:p w14:paraId="47BD86FB" w14:textId="3C9C9058" w:rsidR="005F606F" w:rsidRPr="005F606F" w:rsidRDefault="005F606F" w:rsidP="005F606F">
      <w:pPr>
        <w:rPr>
          <w:rFonts w:ascii="Arial" w:hAnsi="Arial" w:cs="Arial"/>
        </w:rPr>
      </w:pPr>
      <w:r w:rsidRPr="005F606F">
        <w:rPr>
          <w:rFonts w:ascii="Arial" w:hAnsi="Arial" w:cs="Arial"/>
        </w:rPr>
        <w:t>Again, the important part is committing to change career trajectory if the conditions of their trigger point is met.</w:t>
      </w:r>
    </w:p>
    <w:p w14:paraId="0C162A51" w14:textId="00946FD6" w:rsidR="008366FB" w:rsidRDefault="008366FB" w:rsidP="005F606F">
      <w:pPr>
        <w:pStyle w:val="ProsperHeading2"/>
        <w:rPr>
          <w:sz w:val="20"/>
          <w:szCs w:val="20"/>
        </w:rPr>
      </w:pPr>
    </w:p>
    <w:p w14:paraId="59930D94" w14:textId="1538E68F" w:rsidR="005F606F" w:rsidRPr="005F606F" w:rsidRDefault="005F606F" w:rsidP="005F606F">
      <w:pPr>
        <w:pStyle w:val="ProsperHeading2"/>
        <w:rPr>
          <w:szCs w:val="28"/>
        </w:rPr>
      </w:pPr>
      <w:r w:rsidRPr="005F606F">
        <w:rPr>
          <w:szCs w:val="28"/>
        </w:rPr>
        <w:t>Fighting sunk cost fallacy thinking</w:t>
      </w:r>
    </w:p>
    <w:p w14:paraId="10D16B10" w14:textId="77777777" w:rsidR="005F606F" w:rsidRDefault="005F606F" w:rsidP="005F606F">
      <w:pPr>
        <w:pStyle w:val="ProsperHeading2"/>
        <w:rPr>
          <w:szCs w:val="28"/>
        </w:rPr>
      </w:pPr>
    </w:p>
    <w:p w14:paraId="42F1BCD6" w14:textId="56AB9DCB" w:rsidR="005F606F" w:rsidRPr="005F606F" w:rsidRDefault="005F606F" w:rsidP="005F606F">
      <w:pPr>
        <w:pStyle w:val="ProsperHeading2"/>
        <w:rPr>
          <w:sz w:val="24"/>
        </w:rPr>
      </w:pPr>
      <w:r w:rsidRPr="005F606F">
        <w:rPr>
          <w:szCs w:val="28"/>
        </w:rPr>
        <w:t>Approach 1</w:t>
      </w:r>
      <w:r>
        <w:rPr>
          <w:szCs w:val="28"/>
        </w:rPr>
        <w:t xml:space="preserve"> </w:t>
      </w:r>
      <w:r w:rsidRPr="005F606F">
        <w:rPr>
          <w:sz w:val="24"/>
        </w:rPr>
        <w:t xml:space="preserve">(adapted from </w:t>
      </w:r>
      <w:hyperlink r:id="rId8" w:history="1">
        <w:r w:rsidRPr="005F606F">
          <w:rPr>
            <w:rStyle w:val="Hyperlink"/>
            <w:sz w:val="24"/>
          </w:rPr>
          <w:t>https://www.bbc.com/worklife/article/20180914-the-trick-to-learning-when-to-cut-your-losses</w:t>
        </w:r>
      </w:hyperlink>
      <w:r w:rsidRPr="005F606F">
        <w:rPr>
          <w:sz w:val="24"/>
        </w:rPr>
        <w:t>)</w:t>
      </w:r>
    </w:p>
    <w:p w14:paraId="7EF207B9" w14:textId="7D9EE96C" w:rsidR="005F606F" w:rsidRDefault="005F606F" w:rsidP="005F606F">
      <w:pPr>
        <w:pStyle w:val="ProsperHeading2"/>
        <w:rPr>
          <w:szCs w:val="28"/>
        </w:rPr>
      </w:pPr>
      <w:bookmarkStart w:id="1" w:name="_GoBack"/>
      <w:bookmarkEnd w:id="1"/>
    </w:p>
    <w:p w14:paraId="48046C21" w14:textId="77777777" w:rsidR="005F606F" w:rsidRDefault="005F606F" w:rsidP="005F606F">
      <w:pPr>
        <w:rPr>
          <w:rFonts w:ascii="Arial" w:hAnsi="Arial" w:cs="Arial"/>
        </w:rPr>
      </w:pPr>
      <w:r>
        <w:rPr>
          <w:rFonts w:ascii="Arial" w:hAnsi="Arial" w:cs="Arial"/>
        </w:rPr>
        <w:lastRenderedPageBreak/>
        <w:t xml:space="preserve">When </w:t>
      </w:r>
      <w:proofErr w:type="gramStart"/>
      <w:r>
        <w:rPr>
          <w:rFonts w:ascii="Arial" w:hAnsi="Arial" w:cs="Arial"/>
        </w:rPr>
        <w:t>making a decision</w:t>
      </w:r>
      <w:proofErr w:type="gramEnd"/>
      <w:r>
        <w:rPr>
          <w:rFonts w:ascii="Arial" w:hAnsi="Arial" w:cs="Arial"/>
        </w:rPr>
        <w:t xml:space="preserve"> about whether to persist with your current course of action or not you can ask yourself;</w:t>
      </w:r>
    </w:p>
    <w:p w14:paraId="7567DF4D" w14:textId="77777777" w:rsidR="005F606F" w:rsidRDefault="005F606F" w:rsidP="005F606F">
      <w:pPr>
        <w:rPr>
          <w:rFonts w:ascii="Arial" w:hAnsi="Arial" w:cs="Arial"/>
        </w:rPr>
      </w:pPr>
      <w:r>
        <w:rPr>
          <w:rFonts w:ascii="Arial" w:hAnsi="Arial" w:cs="Arial"/>
        </w:rPr>
        <w:t xml:space="preserve"> (1) ‘What would I gain if I stuck with this option and what would I lose if I switched?’ and then </w:t>
      </w:r>
    </w:p>
    <w:p w14:paraId="110B8458" w14:textId="6CB4F6AB" w:rsidR="005F606F" w:rsidRDefault="005F606F" w:rsidP="005F606F">
      <w:pPr>
        <w:rPr>
          <w:rFonts w:ascii="Arial" w:hAnsi="Arial" w:cs="Arial"/>
        </w:rPr>
      </w:pPr>
      <w:r>
        <w:rPr>
          <w:rFonts w:ascii="Arial" w:hAnsi="Arial" w:cs="Arial"/>
        </w:rPr>
        <w:t>(2) ‘What would I lose if I stuck with this option and what would I gain if I switched?</w:t>
      </w:r>
    </w:p>
    <w:p w14:paraId="546DC5E6" w14:textId="2CEE7D71" w:rsidR="005F606F" w:rsidRDefault="005F606F" w:rsidP="005F606F">
      <w:pPr>
        <w:pStyle w:val="ProsperHeading2"/>
        <w:rPr>
          <w:szCs w:val="28"/>
        </w:rPr>
      </w:pPr>
    </w:p>
    <w:p w14:paraId="46E4C4CA" w14:textId="2A38888E" w:rsidR="005F606F" w:rsidRPr="00A5459A" w:rsidRDefault="005F606F" w:rsidP="005F606F">
      <w:pPr>
        <w:rPr>
          <w:rFonts w:ascii="Arial" w:hAnsi="Arial" w:cs="Arial"/>
        </w:rPr>
      </w:pPr>
      <w:r>
        <w:rPr>
          <w:rFonts w:ascii="Arial" w:hAnsi="Arial" w:cs="Arial"/>
        </w:rPr>
        <w:t xml:space="preserve">If you’re still unsure if you’re deciding based on facts or not, think back through the whole chain of decisions that have led to you this point, and when reviewing each decision in the chain ask yourself if you were presented with the same choice again, would you make the same decision? If not, why not?’ </w:t>
      </w:r>
    </w:p>
    <w:p w14:paraId="544F2440" w14:textId="4D04F105" w:rsidR="005F606F" w:rsidRDefault="005F606F" w:rsidP="005F606F">
      <w:pPr>
        <w:pStyle w:val="ProsperHeading2"/>
        <w:rPr>
          <w:szCs w:val="28"/>
        </w:rPr>
      </w:pPr>
    </w:p>
    <w:p w14:paraId="2748720C" w14:textId="77777777" w:rsidR="005F606F" w:rsidRPr="005F606F" w:rsidRDefault="005F606F" w:rsidP="005F606F">
      <w:pPr>
        <w:pStyle w:val="ProsperHeading2"/>
        <w:rPr>
          <w:sz w:val="24"/>
        </w:rPr>
      </w:pPr>
      <w:r>
        <w:rPr>
          <w:szCs w:val="28"/>
        </w:rPr>
        <w:t xml:space="preserve">Approach 2 </w:t>
      </w:r>
      <w:r w:rsidRPr="005F606F">
        <w:rPr>
          <w:sz w:val="24"/>
        </w:rPr>
        <w:t xml:space="preserve">(adapted from </w:t>
      </w:r>
      <w:hyperlink r:id="rId9" w:history="1">
        <w:r w:rsidRPr="005F606F">
          <w:rPr>
            <w:rStyle w:val="Hyperlink"/>
            <w:sz w:val="24"/>
          </w:rPr>
          <w:t>https://researcherblogski.wordpress.com/2018/12/23/changing-direction-can-be-the-rational-choice%EF%BC%8Dhow-to-base-career-decisions-on-your-present-not-your-past/</w:t>
        </w:r>
      </w:hyperlink>
      <w:r w:rsidRPr="005F606F">
        <w:rPr>
          <w:sz w:val="24"/>
        </w:rPr>
        <w:t>)</w:t>
      </w:r>
    </w:p>
    <w:p w14:paraId="7B44C6A8" w14:textId="77777777" w:rsidR="005F606F" w:rsidRDefault="005F606F" w:rsidP="005F606F">
      <w:pPr>
        <w:pStyle w:val="ProsperHeading2"/>
        <w:rPr>
          <w:szCs w:val="28"/>
        </w:rPr>
      </w:pPr>
    </w:p>
    <w:p w14:paraId="212F069B" w14:textId="77777777" w:rsidR="005F606F" w:rsidRPr="005F606F" w:rsidRDefault="005F606F" w:rsidP="005F606F">
      <w:pPr>
        <w:pStyle w:val="ListParagraph"/>
        <w:numPr>
          <w:ilvl w:val="0"/>
          <w:numId w:val="8"/>
        </w:numPr>
        <w:rPr>
          <w:rFonts w:ascii="Arial" w:eastAsia="Times New Roman" w:hAnsi="Arial" w:cs="Arial"/>
          <w:sz w:val="24"/>
          <w:szCs w:val="24"/>
          <w:lang w:eastAsia="en-GB"/>
        </w:rPr>
      </w:pPr>
      <w:r w:rsidRPr="005F606F">
        <w:rPr>
          <w:rFonts w:ascii="Arial" w:eastAsia="Times New Roman" w:hAnsi="Arial" w:cs="Arial"/>
          <w:sz w:val="24"/>
          <w:szCs w:val="24"/>
          <w:lang w:eastAsia="en-GB"/>
        </w:rPr>
        <w:t>Assess your present skills without thinking about how you got them. Pretend you just woke up one day with this skill-set.</w:t>
      </w:r>
    </w:p>
    <w:p w14:paraId="241D3569" w14:textId="77777777" w:rsidR="005F606F" w:rsidRPr="005F606F" w:rsidRDefault="005F606F" w:rsidP="005F606F">
      <w:pPr>
        <w:pStyle w:val="ListParagraph"/>
        <w:numPr>
          <w:ilvl w:val="0"/>
          <w:numId w:val="8"/>
        </w:numPr>
        <w:rPr>
          <w:rFonts w:ascii="Arial" w:eastAsia="Times New Roman" w:hAnsi="Arial" w:cs="Arial"/>
          <w:sz w:val="24"/>
          <w:szCs w:val="24"/>
          <w:lang w:eastAsia="en-GB"/>
        </w:rPr>
      </w:pPr>
      <w:r w:rsidRPr="005F606F">
        <w:rPr>
          <w:rFonts w:ascii="Arial" w:eastAsia="Times New Roman" w:hAnsi="Arial" w:cs="Arial"/>
          <w:sz w:val="24"/>
          <w:szCs w:val="24"/>
          <w:lang w:eastAsia="en-GB"/>
        </w:rPr>
        <w:t>Assess future options. Starting from now what are the costs and benefits of different options from now going forward?</w:t>
      </w:r>
    </w:p>
    <w:p w14:paraId="0F96D377" w14:textId="77777777" w:rsidR="005F606F" w:rsidRPr="005F606F" w:rsidRDefault="005F606F" w:rsidP="005F606F">
      <w:pPr>
        <w:pStyle w:val="ListParagraph"/>
        <w:numPr>
          <w:ilvl w:val="0"/>
          <w:numId w:val="8"/>
        </w:numPr>
        <w:rPr>
          <w:rFonts w:ascii="Arial" w:eastAsia="Times New Roman" w:hAnsi="Arial" w:cs="Arial"/>
          <w:sz w:val="24"/>
          <w:szCs w:val="24"/>
          <w:lang w:eastAsia="en-GB"/>
        </w:rPr>
      </w:pPr>
      <w:r w:rsidRPr="005F606F">
        <w:rPr>
          <w:rFonts w:ascii="Arial" w:eastAsia="Times New Roman" w:hAnsi="Arial" w:cs="Arial"/>
          <w:sz w:val="24"/>
          <w:szCs w:val="24"/>
          <w:lang w:eastAsia="en-GB"/>
        </w:rPr>
        <w:t>Talk to someone else about your reasoning and justify your decision/s. The important thing here isn’t that they agree with you but that you’ll have a tough time in justifying your decision/s if it’s based on sunk costs now that you are aware of this fallacy.</w:t>
      </w:r>
    </w:p>
    <w:p w14:paraId="519F2D19" w14:textId="214BFD65" w:rsidR="005F606F" w:rsidRDefault="005F606F" w:rsidP="005F606F">
      <w:pPr>
        <w:pStyle w:val="ProsperHeading2"/>
        <w:rPr>
          <w:szCs w:val="28"/>
        </w:rPr>
      </w:pPr>
      <w:r>
        <w:rPr>
          <w:szCs w:val="28"/>
        </w:rPr>
        <w:t xml:space="preserve"> </w:t>
      </w:r>
    </w:p>
    <w:p w14:paraId="73DFCA0C" w14:textId="78C643E7" w:rsidR="005F606F" w:rsidRDefault="005F606F" w:rsidP="005F606F">
      <w:pPr>
        <w:pStyle w:val="ProsperHeading2"/>
        <w:rPr>
          <w:szCs w:val="28"/>
        </w:rPr>
      </w:pPr>
      <w:r>
        <w:rPr>
          <w:szCs w:val="28"/>
        </w:rPr>
        <w:t>Further reading</w:t>
      </w:r>
    </w:p>
    <w:p w14:paraId="6927F7BE" w14:textId="3D58138F" w:rsidR="005F606F" w:rsidRDefault="005F606F" w:rsidP="005F606F">
      <w:pPr>
        <w:pStyle w:val="ProsperHeading2"/>
        <w:rPr>
          <w:szCs w:val="28"/>
        </w:rPr>
      </w:pPr>
    </w:p>
    <w:p w14:paraId="76F31F20" w14:textId="3EF770EE" w:rsidR="005F606F" w:rsidRDefault="007816B4" w:rsidP="005F606F">
      <w:pPr>
        <w:pStyle w:val="ProsperHeading2"/>
        <w:rPr>
          <w:sz w:val="24"/>
        </w:rPr>
      </w:pPr>
      <w:hyperlink r:id="rId10" w:history="1">
        <w:r w:rsidR="005F606F" w:rsidRPr="005F606F">
          <w:rPr>
            <w:rStyle w:val="Hyperlink"/>
            <w:sz w:val="24"/>
          </w:rPr>
          <w:t xml:space="preserve">Changing direction can be the rational choice – how to base career decisions on your present not your past – </w:t>
        </w:r>
        <w:proofErr w:type="spellStart"/>
        <w:r w:rsidR="005F606F" w:rsidRPr="005F606F">
          <w:rPr>
            <w:rStyle w:val="Hyperlink"/>
            <w:sz w:val="24"/>
          </w:rPr>
          <w:t>Karolinkska</w:t>
        </w:r>
        <w:proofErr w:type="spellEnd"/>
        <w:r w:rsidR="005F606F" w:rsidRPr="005F606F">
          <w:rPr>
            <w:rStyle w:val="Hyperlink"/>
            <w:sz w:val="24"/>
          </w:rPr>
          <w:t xml:space="preserve"> </w:t>
        </w:r>
        <w:proofErr w:type="spellStart"/>
        <w:r w:rsidR="005F606F" w:rsidRPr="005F606F">
          <w:rPr>
            <w:rStyle w:val="Hyperlink"/>
            <w:sz w:val="24"/>
          </w:rPr>
          <w:t>Institutet</w:t>
        </w:r>
        <w:proofErr w:type="spellEnd"/>
        <w:r w:rsidR="005F606F" w:rsidRPr="005F606F">
          <w:rPr>
            <w:rStyle w:val="Hyperlink"/>
            <w:sz w:val="24"/>
          </w:rPr>
          <w:t xml:space="preserve"> Career Blog</w:t>
        </w:r>
      </w:hyperlink>
    </w:p>
    <w:p w14:paraId="35B426BD" w14:textId="5B3EF70D" w:rsidR="005F606F" w:rsidRDefault="005F606F" w:rsidP="005F606F">
      <w:pPr>
        <w:pStyle w:val="ProsperHeading2"/>
        <w:rPr>
          <w:sz w:val="24"/>
        </w:rPr>
      </w:pPr>
    </w:p>
    <w:p w14:paraId="19989820" w14:textId="1DC25098" w:rsidR="005F606F" w:rsidRDefault="007816B4" w:rsidP="005F606F">
      <w:pPr>
        <w:pStyle w:val="ProsperHeading2"/>
        <w:rPr>
          <w:sz w:val="24"/>
        </w:rPr>
      </w:pPr>
      <w:hyperlink r:id="rId11" w:history="1">
        <w:r w:rsidR="005F606F" w:rsidRPr="005F606F">
          <w:rPr>
            <w:rStyle w:val="Hyperlink"/>
            <w:sz w:val="24"/>
          </w:rPr>
          <w:t xml:space="preserve">The trick to learning when to cut your losses – BBC </w:t>
        </w:r>
        <w:proofErr w:type="spellStart"/>
        <w:r w:rsidR="005F606F" w:rsidRPr="005F606F">
          <w:rPr>
            <w:rStyle w:val="Hyperlink"/>
            <w:sz w:val="24"/>
          </w:rPr>
          <w:t>Worklife</w:t>
        </w:r>
        <w:proofErr w:type="spellEnd"/>
      </w:hyperlink>
    </w:p>
    <w:p w14:paraId="429AA897" w14:textId="42428CBC" w:rsidR="005F606F" w:rsidRDefault="005F606F" w:rsidP="005F606F">
      <w:pPr>
        <w:pStyle w:val="ProsperHeading2"/>
        <w:rPr>
          <w:sz w:val="24"/>
        </w:rPr>
      </w:pPr>
    </w:p>
    <w:p w14:paraId="411FD070" w14:textId="57FA79BD" w:rsidR="005F606F" w:rsidRPr="005F606F" w:rsidRDefault="007816B4" w:rsidP="005F606F">
      <w:pPr>
        <w:pStyle w:val="Letterbody"/>
        <w:rPr>
          <w:rFonts w:ascii="Arial" w:hAnsi="Arial" w:cs="Arial"/>
        </w:rPr>
      </w:pPr>
      <w:hyperlink r:id="rId12" w:history="1">
        <w:r w:rsidR="005F606F" w:rsidRPr="005F606F">
          <w:rPr>
            <w:rStyle w:val="Hyperlink"/>
            <w:rFonts w:ascii="Arial" w:hAnsi="Arial" w:cs="Arial"/>
          </w:rPr>
          <w:t xml:space="preserve">Emilie </w:t>
        </w:r>
        <w:proofErr w:type="spellStart"/>
        <w:r w:rsidR="005F606F" w:rsidRPr="005F606F">
          <w:rPr>
            <w:rStyle w:val="Hyperlink"/>
            <w:rFonts w:ascii="Arial" w:hAnsi="Arial" w:cs="Arial"/>
          </w:rPr>
          <w:t>Wapnick’s</w:t>
        </w:r>
        <w:proofErr w:type="spellEnd"/>
        <w:r w:rsidR="005F606F" w:rsidRPr="005F606F">
          <w:rPr>
            <w:rStyle w:val="Hyperlink"/>
            <w:rFonts w:ascii="Arial" w:hAnsi="Arial" w:cs="Arial"/>
          </w:rPr>
          <w:t xml:space="preserve"> </w:t>
        </w:r>
        <w:proofErr w:type="spellStart"/>
        <w:r w:rsidR="005F606F" w:rsidRPr="005F606F">
          <w:rPr>
            <w:rStyle w:val="Hyperlink"/>
            <w:rFonts w:ascii="Arial" w:hAnsi="Arial" w:cs="Arial"/>
          </w:rPr>
          <w:t>TEDxBend</w:t>
        </w:r>
        <w:proofErr w:type="spellEnd"/>
        <w:r w:rsidR="005F606F" w:rsidRPr="005F606F">
          <w:rPr>
            <w:rStyle w:val="Hyperlink"/>
            <w:rFonts w:ascii="Arial" w:hAnsi="Arial" w:cs="Arial"/>
          </w:rPr>
          <w:t xml:space="preserve"> talk ‘Why some of us don't have one true calling’</w:t>
        </w:r>
      </w:hyperlink>
      <w:r w:rsidR="005F606F" w:rsidRPr="005F606F">
        <w:rPr>
          <w:rFonts w:ascii="Arial" w:hAnsi="Arial" w:cs="Arial"/>
        </w:rPr>
        <w:t xml:space="preserve"> </w:t>
      </w:r>
    </w:p>
    <w:p w14:paraId="0E1DE702" w14:textId="0BD37AF2" w:rsidR="005F606F" w:rsidRDefault="005F606F" w:rsidP="005F606F">
      <w:pPr>
        <w:pStyle w:val="ProsperHeading2"/>
        <w:rPr>
          <w:sz w:val="24"/>
        </w:rPr>
      </w:pPr>
    </w:p>
    <w:p w14:paraId="4B203D53" w14:textId="24E18C00" w:rsidR="005F606F" w:rsidRDefault="007816B4" w:rsidP="005F606F">
      <w:pPr>
        <w:pStyle w:val="ProsperHeading2"/>
        <w:rPr>
          <w:sz w:val="24"/>
        </w:rPr>
      </w:pPr>
      <w:hyperlink r:id="rId13" w:history="1">
        <w:r w:rsidR="005F606F" w:rsidRPr="005F606F">
          <w:rPr>
            <w:rStyle w:val="Hyperlink"/>
            <w:sz w:val="24"/>
          </w:rPr>
          <w:t>My first postdoc position was a disaster. This is what I learned. (2019) V S C Wong</w:t>
        </w:r>
      </w:hyperlink>
    </w:p>
    <w:p w14:paraId="7BC49E62" w14:textId="40FD1342" w:rsidR="005F606F" w:rsidRDefault="005F606F" w:rsidP="005F606F">
      <w:pPr>
        <w:pStyle w:val="ProsperHeading2"/>
        <w:rPr>
          <w:sz w:val="24"/>
        </w:rPr>
      </w:pPr>
    </w:p>
    <w:p w14:paraId="47D895FB" w14:textId="050956F9" w:rsidR="005F606F" w:rsidRDefault="007816B4" w:rsidP="005F606F">
      <w:pPr>
        <w:pStyle w:val="ProsperHeading2"/>
        <w:rPr>
          <w:sz w:val="24"/>
        </w:rPr>
      </w:pPr>
      <w:hyperlink r:id="rId14" w:history="1">
        <w:r w:rsidR="005F606F" w:rsidRPr="005F606F">
          <w:rPr>
            <w:rStyle w:val="Hyperlink"/>
            <w:sz w:val="24"/>
          </w:rPr>
          <w:t>The Science of Quitting – Dr Maya Shankar</w:t>
        </w:r>
      </w:hyperlink>
    </w:p>
    <w:p w14:paraId="525A3D10" w14:textId="359565F9" w:rsidR="005F606F" w:rsidRDefault="007816B4" w:rsidP="005F606F">
      <w:pPr>
        <w:pStyle w:val="ProsperHeading2"/>
        <w:rPr>
          <w:sz w:val="24"/>
        </w:rPr>
      </w:pPr>
      <w:hyperlink r:id="rId15" w:history="1">
        <w:r w:rsidR="005F606F" w:rsidRPr="005F606F">
          <w:rPr>
            <w:rStyle w:val="Hyperlink"/>
            <w:sz w:val="24"/>
          </w:rPr>
          <w:t>Is the ‘sunk cost fallacy’ sinking your career? E Williams</w:t>
        </w:r>
      </w:hyperlink>
    </w:p>
    <w:p w14:paraId="3F75DB26" w14:textId="2765048B" w:rsidR="005F606F" w:rsidRDefault="005F606F" w:rsidP="005F606F">
      <w:pPr>
        <w:pStyle w:val="ProsperHeading2"/>
        <w:rPr>
          <w:sz w:val="24"/>
        </w:rPr>
      </w:pPr>
    </w:p>
    <w:p w14:paraId="696C03C3" w14:textId="203B2EB3" w:rsidR="005F606F" w:rsidRDefault="007816B4" w:rsidP="005F606F">
      <w:pPr>
        <w:pStyle w:val="ProsperHeading2"/>
        <w:rPr>
          <w:sz w:val="24"/>
        </w:rPr>
      </w:pPr>
      <w:hyperlink r:id="rId16" w:history="1">
        <w:r w:rsidR="005F606F" w:rsidRPr="005F606F">
          <w:rPr>
            <w:rStyle w:val="Hyperlink"/>
            <w:sz w:val="24"/>
          </w:rPr>
          <w:t>Why perseverance might actually be hurting your career</w:t>
        </w:r>
      </w:hyperlink>
    </w:p>
    <w:p w14:paraId="197B425A" w14:textId="28AD2873" w:rsidR="005F606F" w:rsidRDefault="005F606F" w:rsidP="005F606F">
      <w:pPr>
        <w:pStyle w:val="ProsperHeading2"/>
        <w:rPr>
          <w:sz w:val="24"/>
        </w:rPr>
      </w:pPr>
    </w:p>
    <w:p w14:paraId="15F58EA2" w14:textId="79B1D75C" w:rsidR="005F606F" w:rsidRPr="005F606F" w:rsidRDefault="007816B4" w:rsidP="005F606F">
      <w:pPr>
        <w:pStyle w:val="ProsperHeading2"/>
        <w:rPr>
          <w:sz w:val="24"/>
        </w:rPr>
      </w:pPr>
      <w:hyperlink r:id="rId17" w:history="1">
        <w:r w:rsidR="005F606F" w:rsidRPr="005F606F">
          <w:rPr>
            <w:rStyle w:val="Hyperlink"/>
            <w:sz w:val="24"/>
          </w:rPr>
          <w:t xml:space="preserve">How susceptible are you to the sunk cost fallacy? D </w:t>
        </w:r>
        <w:proofErr w:type="spellStart"/>
        <w:r w:rsidR="005F606F" w:rsidRPr="005F606F">
          <w:rPr>
            <w:rStyle w:val="Hyperlink"/>
            <w:sz w:val="24"/>
          </w:rPr>
          <w:t>Ronayne</w:t>
        </w:r>
        <w:proofErr w:type="spellEnd"/>
        <w:r w:rsidR="005F606F" w:rsidRPr="005F606F">
          <w:rPr>
            <w:rStyle w:val="Hyperlink"/>
            <w:sz w:val="24"/>
          </w:rPr>
          <w:t xml:space="preserve">, D </w:t>
        </w:r>
        <w:proofErr w:type="spellStart"/>
        <w:r w:rsidR="005F606F" w:rsidRPr="005F606F">
          <w:rPr>
            <w:rStyle w:val="Hyperlink"/>
            <w:sz w:val="24"/>
          </w:rPr>
          <w:t>Sgroi</w:t>
        </w:r>
        <w:proofErr w:type="spellEnd"/>
        <w:r w:rsidR="005F606F" w:rsidRPr="005F606F">
          <w:rPr>
            <w:rStyle w:val="Hyperlink"/>
            <w:sz w:val="24"/>
          </w:rPr>
          <w:t xml:space="preserve"> and A Tuckwell</w:t>
        </w:r>
      </w:hyperlink>
    </w:p>
    <w:sectPr w:rsidR="005F606F" w:rsidRPr="005F606F" w:rsidSect="007418D6">
      <w:headerReference w:type="default" r:id="rId18"/>
      <w:footerReference w:type="default" r:id="rId19"/>
      <w:pgSz w:w="11901" w:h="16840"/>
      <w:pgMar w:top="3016" w:right="1463" w:bottom="2829" w:left="1463" w:header="794" w:footer="4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7650A" w14:textId="77777777" w:rsidR="00B615B6" w:rsidRDefault="00B615B6" w:rsidP="006F106E">
      <w:r>
        <w:separator/>
      </w:r>
    </w:p>
  </w:endnote>
  <w:endnote w:type="continuationSeparator" w:id="0">
    <w:p w14:paraId="35A5BFFE" w14:textId="77777777" w:rsidR="00B615B6" w:rsidRDefault="00B615B6" w:rsidP="006F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taSerifPro-Book">
    <w:altName w:val="Times New Roman"/>
    <w:panose1 w:val="00000000000000000000"/>
    <w:charset w:val="00"/>
    <w:family w:val="auto"/>
    <w:notTrueType/>
    <w:pitch w:val="variable"/>
    <w:sig w:usb0="A00002FF" w:usb1="5000207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Light">
    <w:altName w:val="Arial Nova Light"/>
    <w:charset w:val="00"/>
    <w:family w:val="swiss"/>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A5108" w14:textId="77777777" w:rsidR="007816B4" w:rsidRDefault="007816B4" w:rsidP="008F1F48">
    <w:pPr>
      <w:pStyle w:val="paragraph"/>
      <w:spacing w:before="0" w:beforeAutospacing="0" w:after="0" w:afterAutospacing="0"/>
      <w:textAlignment w:val="baseline"/>
      <w:rPr>
        <w:rFonts w:ascii="Arial" w:hAnsi="Arial" w:cs="Arial"/>
        <w:sz w:val="16"/>
        <w:szCs w:val="16"/>
      </w:rPr>
    </w:pPr>
  </w:p>
  <w:p w14:paraId="50A9C736" w14:textId="48AE1FE4" w:rsidR="008F1F48" w:rsidRDefault="007816B4" w:rsidP="008F1F48">
    <w:pPr>
      <w:pStyle w:val="paragraph"/>
      <w:spacing w:before="0" w:beforeAutospacing="0" w:after="0" w:afterAutospacing="0"/>
      <w:textAlignment w:val="baseline"/>
      <w:rPr>
        <w:rFonts w:ascii="Segoe UI" w:hAnsi="Segoe UI" w:cs="Segoe UI"/>
        <w:sz w:val="18"/>
        <w:szCs w:val="18"/>
      </w:rPr>
    </w:pPr>
    <w:r>
      <w:rPr>
        <w:rFonts w:ascii="Arial" w:hAnsi="Arial" w:cs="Arial"/>
        <w:noProof/>
        <w:sz w:val="16"/>
        <w:szCs w:val="16"/>
      </w:rPr>
      <w:drawing>
        <wp:inline distT="0" distB="0" distL="0" distR="0" wp14:anchorId="707EF546" wp14:editId="51947DE2">
          <wp:extent cx="671524"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sa.png"/>
                  <pic:cNvPicPr/>
                </pic:nvPicPr>
                <pic:blipFill>
                  <a:blip r:embed="rId1"/>
                  <a:stretch>
                    <a:fillRect/>
                  </a:stretch>
                </pic:blipFill>
                <pic:spPr>
                  <a:xfrm>
                    <a:off x="0" y="0"/>
                    <a:ext cx="788083" cy="275731"/>
                  </a:xfrm>
                  <a:prstGeom prst="rect">
                    <a:avLst/>
                  </a:prstGeom>
                </pic:spPr>
              </pic:pic>
            </a:graphicData>
          </a:graphic>
        </wp:inline>
      </w:drawing>
    </w:r>
    <w:r>
      <w:rPr>
        <w:rFonts w:ascii="Arial" w:hAnsi="Arial" w:cs="Arial"/>
        <w:sz w:val="16"/>
        <w:szCs w:val="16"/>
      </w:rPr>
      <w:t xml:space="preserve"> T</w:t>
    </w:r>
    <w:r w:rsidRPr="00C533A9">
      <w:rPr>
        <w:rFonts w:ascii="Arial" w:hAnsi="Arial" w:cs="Arial"/>
        <w:sz w:val="16"/>
        <w:szCs w:val="16"/>
      </w:rPr>
      <w:t>his work is licensed under the Creative Commons Attribution-</w:t>
    </w:r>
    <w:proofErr w:type="spellStart"/>
    <w:r w:rsidRPr="00C533A9">
      <w:rPr>
        <w:rFonts w:ascii="Arial" w:hAnsi="Arial" w:cs="Arial"/>
        <w:sz w:val="16"/>
        <w:szCs w:val="16"/>
      </w:rPr>
      <w:t>NonCommercial</w:t>
    </w:r>
    <w:proofErr w:type="spellEnd"/>
    <w:r w:rsidRPr="00C533A9">
      <w:rPr>
        <w:rFonts w:ascii="Arial" w:hAnsi="Arial" w:cs="Arial"/>
        <w:sz w:val="16"/>
        <w:szCs w:val="16"/>
      </w:rPr>
      <w:t>-</w:t>
    </w:r>
    <w:proofErr w:type="spellStart"/>
    <w:r w:rsidRPr="00C533A9">
      <w:rPr>
        <w:rFonts w:ascii="Arial" w:hAnsi="Arial" w:cs="Arial"/>
        <w:sz w:val="16"/>
        <w:szCs w:val="16"/>
      </w:rPr>
      <w:t>ShareAlike</w:t>
    </w:r>
    <w:proofErr w:type="spellEnd"/>
    <w:r w:rsidRPr="00C533A9">
      <w:rPr>
        <w:rFonts w:ascii="Arial" w:hAnsi="Arial" w:cs="Arial"/>
        <w:sz w:val="16"/>
        <w:szCs w:val="16"/>
      </w:rPr>
      <w:t xml:space="preserve"> 4.0 International</w:t>
    </w:r>
    <w:r>
      <w:rPr>
        <w:rFonts w:ascii="Arial" w:hAnsi="Arial" w:cs="Arial"/>
        <w:sz w:val="16"/>
        <w:szCs w:val="16"/>
      </w:rPr>
      <w:t xml:space="preserve"> </w:t>
    </w:r>
    <w:r w:rsidRPr="00C533A9">
      <w:rPr>
        <w:rFonts w:ascii="Arial" w:hAnsi="Arial" w:cs="Arial"/>
        <w:sz w:val="16"/>
        <w:szCs w:val="16"/>
      </w:rPr>
      <w:t xml:space="preserve">License. To view a copy of this license, </w:t>
    </w:r>
    <w:hyperlink r:id="rId2" w:history="1">
      <w:r w:rsidRPr="00C533A9">
        <w:rPr>
          <w:rStyle w:val="Hyperlink"/>
          <w:rFonts w:ascii="Arial" w:hAnsi="Arial" w:cs="Arial"/>
          <w:sz w:val="16"/>
          <w:szCs w:val="16"/>
        </w:rPr>
        <w:t>https://creativecommons.org/licenses/by-nc-sa/4.0/</w:t>
      </w:r>
    </w:hyperlink>
    <w:r w:rsidR="008F1F48">
      <w:rPr>
        <w:rStyle w:val="normaltextrun"/>
        <w:rFonts w:ascii="Arial" w:hAnsi="Arial" w:cs="Arial"/>
        <w:sz w:val="26"/>
        <w:szCs w:val="26"/>
      </w:rPr>
      <w:t> </w:t>
    </w:r>
    <w:r w:rsidR="008F1F48">
      <w:rPr>
        <w:rStyle w:val="eop"/>
        <w:rFonts w:ascii="Arial" w:hAnsi="Arial" w:cs="Arial"/>
        <w:sz w:val="26"/>
        <w:szCs w:val="26"/>
      </w:rPr>
      <w:t> </w:t>
    </w:r>
  </w:p>
  <w:p w14:paraId="31B8B97F" w14:textId="77777777" w:rsidR="008F1F48" w:rsidRDefault="008F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46CF" w14:textId="77777777" w:rsidR="00B615B6" w:rsidRDefault="00B615B6" w:rsidP="006F106E">
      <w:r>
        <w:separator/>
      </w:r>
    </w:p>
  </w:footnote>
  <w:footnote w:type="continuationSeparator" w:id="0">
    <w:p w14:paraId="666ECDDE" w14:textId="77777777" w:rsidR="00B615B6" w:rsidRDefault="00B615B6" w:rsidP="006F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BDA2" w14:textId="5A0A8136" w:rsidR="00DE5504" w:rsidRPr="00A10140" w:rsidRDefault="00DE5504" w:rsidP="00A10140">
    <w:pPr>
      <w:pStyle w:val="Header"/>
    </w:pPr>
    <w:r>
      <w:rPr>
        <w:noProof/>
      </w:rPr>
      <w:drawing>
        <wp:anchor distT="0" distB="0" distL="114300" distR="114300" simplePos="0" relativeHeight="251658240" behindDoc="1" locked="1" layoutInCell="1" allowOverlap="1" wp14:anchorId="0CB02ED9" wp14:editId="002523B9">
          <wp:simplePos x="0" y="0"/>
          <wp:positionH relativeFrom="page">
            <wp:posOffset>0</wp:posOffset>
          </wp:positionH>
          <wp:positionV relativeFrom="page">
            <wp:posOffset>6350</wp:posOffset>
          </wp:positionV>
          <wp:extent cx="7556500" cy="10680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r digital docs_general.png"/>
                  <pic:cNvPicPr/>
                </pic:nvPicPr>
                <pic:blipFill>
                  <a:blip r:embed="rId1"/>
                  <a:stretch>
                    <a:fillRect/>
                  </a:stretch>
                </pic:blipFill>
                <pic:spPr>
                  <a:xfrm>
                    <a:off x="0" y="0"/>
                    <a:ext cx="7556500" cy="10680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77A92"/>
    <w:multiLevelType w:val="hybridMultilevel"/>
    <w:tmpl w:val="1E145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130BC"/>
    <w:multiLevelType w:val="hybridMultilevel"/>
    <w:tmpl w:val="C2F6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A0311"/>
    <w:multiLevelType w:val="hybridMultilevel"/>
    <w:tmpl w:val="C588A1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97D0A"/>
    <w:multiLevelType w:val="hybridMultilevel"/>
    <w:tmpl w:val="119267BA"/>
    <w:lvl w:ilvl="0" w:tplc="D3669EB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E72C1"/>
    <w:multiLevelType w:val="hybridMultilevel"/>
    <w:tmpl w:val="6652F4B4"/>
    <w:lvl w:ilvl="0" w:tplc="58923718">
      <w:start w:val="1"/>
      <w:numFmt w:val="bullet"/>
      <w:lvlText w:val=""/>
      <w:lvlJc w:val="left"/>
      <w:pPr>
        <w:tabs>
          <w:tab w:val="num" w:pos="720"/>
        </w:tabs>
        <w:ind w:left="720" w:hanging="360"/>
      </w:pPr>
      <w:rPr>
        <w:rFonts w:ascii="Symbol" w:hAnsi="Symbol" w:hint="default"/>
      </w:rPr>
    </w:lvl>
    <w:lvl w:ilvl="1" w:tplc="023E4292" w:tentative="1">
      <w:start w:val="1"/>
      <w:numFmt w:val="bullet"/>
      <w:lvlText w:val=""/>
      <w:lvlJc w:val="left"/>
      <w:pPr>
        <w:tabs>
          <w:tab w:val="num" w:pos="1440"/>
        </w:tabs>
        <w:ind w:left="1440" w:hanging="360"/>
      </w:pPr>
      <w:rPr>
        <w:rFonts w:ascii="Symbol" w:hAnsi="Symbol" w:hint="default"/>
      </w:rPr>
    </w:lvl>
    <w:lvl w:ilvl="2" w:tplc="316EBC5E" w:tentative="1">
      <w:start w:val="1"/>
      <w:numFmt w:val="bullet"/>
      <w:lvlText w:val=""/>
      <w:lvlJc w:val="left"/>
      <w:pPr>
        <w:tabs>
          <w:tab w:val="num" w:pos="2160"/>
        </w:tabs>
        <w:ind w:left="2160" w:hanging="360"/>
      </w:pPr>
      <w:rPr>
        <w:rFonts w:ascii="Symbol" w:hAnsi="Symbol" w:hint="default"/>
      </w:rPr>
    </w:lvl>
    <w:lvl w:ilvl="3" w:tplc="14263F50" w:tentative="1">
      <w:start w:val="1"/>
      <w:numFmt w:val="bullet"/>
      <w:lvlText w:val=""/>
      <w:lvlJc w:val="left"/>
      <w:pPr>
        <w:tabs>
          <w:tab w:val="num" w:pos="2880"/>
        </w:tabs>
        <w:ind w:left="2880" w:hanging="360"/>
      </w:pPr>
      <w:rPr>
        <w:rFonts w:ascii="Symbol" w:hAnsi="Symbol" w:hint="default"/>
      </w:rPr>
    </w:lvl>
    <w:lvl w:ilvl="4" w:tplc="2D7A17F0" w:tentative="1">
      <w:start w:val="1"/>
      <w:numFmt w:val="bullet"/>
      <w:lvlText w:val=""/>
      <w:lvlJc w:val="left"/>
      <w:pPr>
        <w:tabs>
          <w:tab w:val="num" w:pos="3600"/>
        </w:tabs>
        <w:ind w:left="3600" w:hanging="360"/>
      </w:pPr>
      <w:rPr>
        <w:rFonts w:ascii="Symbol" w:hAnsi="Symbol" w:hint="default"/>
      </w:rPr>
    </w:lvl>
    <w:lvl w:ilvl="5" w:tplc="D82EFFD8" w:tentative="1">
      <w:start w:val="1"/>
      <w:numFmt w:val="bullet"/>
      <w:lvlText w:val=""/>
      <w:lvlJc w:val="left"/>
      <w:pPr>
        <w:tabs>
          <w:tab w:val="num" w:pos="4320"/>
        </w:tabs>
        <w:ind w:left="4320" w:hanging="360"/>
      </w:pPr>
      <w:rPr>
        <w:rFonts w:ascii="Symbol" w:hAnsi="Symbol" w:hint="default"/>
      </w:rPr>
    </w:lvl>
    <w:lvl w:ilvl="6" w:tplc="8E68C52C" w:tentative="1">
      <w:start w:val="1"/>
      <w:numFmt w:val="bullet"/>
      <w:lvlText w:val=""/>
      <w:lvlJc w:val="left"/>
      <w:pPr>
        <w:tabs>
          <w:tab w:val="num" w:pos="5040"/>
        </w:tabs>
        <w:ind w:left="5040" w:hanging="360"/>
      </w:pPr>
      <w:rPr>
        <w:rFonts w:ascii="Symbol" w:hAnsi="Symbol" w:hint="default"/>
      </w:rPr>
    </w:lvl>
    <w:lvl w:ilvl="7" w:tplc="CDACE4DE" w:tentative="1">
      <w:start w:val="1"/>
      <w:numFmt w:val="bullet"/>
      <w:lvlText w:val=""/>
      <w:lvlJc w:val="left"/>
      <w:pPr>
        <w:tabs>
          <w:tab w:val="num" w:pos="5760"/>
        </w:tabs>
        <w:ind w:left="5760" w:hanging="360"/>
      </w:pPr>
      <w:rPr>
        <w:rFonts w:ascii="Symbol" w:hAnsi="Symbol" w:hint="default"/>
      </w:rPr>
    </w:lvl>
    <w:lvl w:ilvl="8" w:tplc="B03C77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3C77E98"/>
    <w:multiLevelType w:val="hybridMultilevel"/>
    <w:tmpl w:val="D3F4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2378B"/>
    <w:multiLevelType w:val="hybridMultilevel"/>
    <w:tmpl w:val="25349666"/>
    <w:lvl w:ilvl="0" w:tplc="750CD24A">
      <w:start w:val="1"/>
      <w:numFmt w:val="bullet"/>
      <w:lvlText w:val=""/>
      <w:lvlJc w:val="left"/>
      <w:pPr>
        <w:tabs>
          <w:tab w:val="num" w:pos="720"/>
        </w:tabs>
        <w:ind w:left="720" w:hanging="360"/>
      </w:pPr>
      <w:rPr>
        <w:rFonts w:ascii="Symbol" w:hAnsi="Symbol" w:hint="default"/>
      </w:rPr>
    </w:lvl>
    <w:lvl w:ilvl="1" w:tplc="10FE4286" w:tentative="1">
      <w:start w:val="1"/>
      <w:numFmt w:val="bullet"/>
      <w:lvlText w:val=""/>
      <w:lvlJc w:val="left"/>
      <w:pPr>
        <w:tabs>
          <w:tab w:val="num" w:pos="1440"/>
        </w:tabs>
        <w:ind w:left="1440" w:hanging="360"/>
      </w:pPr>
      <w:rPr>
        <w:rFonts w:ascii="Symbol" w:hAnsi="Symbol" w:hint="default"/>
      </w:rPr>
    </w:lvl>
    <w:lvl w:ilvl="2" w:tplc="619C294A" w:tentative="1">
      <w:start w:val="1"/>
      <w:numFmt w:val="bullet"/>
      <w:lvlText w:val=""/>
      <w:lvlJc w:val="left"/>
      <w:pPr>
        <w:tabs>
          <w:tab w:val="num" w:pos="2160"/>
        </w:tabs>
        <w:ind w:left="2160" w:hanging="360"/>
      </w:pPr>
      <w:rPr>
        <w:rFonts w:ascii="Symbol" w:hAnsi="Symbol" w:hint="default"/>
      </w:rPr>
    </w:lvl>
    <w:lvl w:ilvl="3" w:tplc="898A1486" w:tentative="1">
      <w:start w:val="1"/>
      <w:numFmt w:val="bullet"/>
      <w:lvlText w:val=""/>
      <w:lvlJc w:val="left"/>
      <w:pPr>
        <w:tabs>
          <w:tab w:val="num" w:pos="2880"/>
        </w:tabs>
        <w:ind w:left="2880" w:hanging="360"/>
      </w:pPr>
      <w:rPr>
        <w:rFonts w:ascii="Symbol" w:hAnsi="Symbol" w:hint="default"/>
      </w:rPr>
    </w:lvl>
    <w:lvl w:ilvl="4" w:tplc="960EFBA2" w:tentative="1">
      <w:start w:val="1"/>
      <w:numFmt w:val="bullet"/>
      <w:lvlText w:val=""/>
      <w:lvlJc w:val="left"/>
      <w:pPr>
        <w:tabs>
          <w:tab w:val="num" w:pos="3600"/>
        </w:tabs>
        <w:ind w:left="3600" w:hanging="360"/>
      </w:pPr>
      <w:rPr>
        <w:rFonts w:ascii="Symbol" w:hAnsi="Symbol" w:hint="default"/>
      </w:rPr>
    </w:lvl>
    <w:lvl w:ilvl="5" w:tplc="22325422" w:tentative="1">
      <w:start w:val="1"/>
      <w:numFmt w:val="bullet"/>
      <w:lvlText w:val=""/>
      <w:lvlJc w:val="left"/>
      <w:pPr>
        <w:tabs>
          <w:tab w:val="num" w:pos="4320"/>
        </w:tabs>
        <w:ind w:left="4320" w:hanging="360"/>
      </w:pPr>
      <w:rPr>
        <w:rFonts w:ascii="Symbol" w:hAnsi="Symbol" w:hint="default"/>
      </w:rPr>
    </w:lvl>
    <w:lvl w:ilvl="6" w:tplc="0A466B16" w:tentative="1">
      <w:start w:val="1"/>
      <w:numFmt w:val="bullet"/>
      <w:lvlText w:val=""/>
      <w:lvlJc w:val="left"/>
      <w:pPr>
        <w:tabs>
          <w:tab w:val="num" w:pos="5040"/>
        </w:tabs>
        <w:ind w:left="5040" w:hanging="360"/>
      </w:pPr>
      <w:rPr>
        <w:rFonts w:ascii="Symbol" w:hAnsi="Symbol" w:hint="default"/>
      </w:rPr>
    </w:lvl>
    <w:lvl w:ilvl="7" w:tplc="AF10825C" w:tentative="1">
      <w:start w:val="1"/>
      <w:numFmt w:val="bullet"/>
      <w:lvlText w:val=""/>
      <w:lvlJc w:val="left"/>
      <w:pPr>
        <w:tabs>
          <w:tab w:val="num" w:pos="5760"/>
        </w:tabs>
        <w:ind w:left="5760" w:hanging="360"/>
      </w:pPr>
      <w:rPr>
        <w:rFonts w:ascii="Symbol" w:hAnsi="Symbol" w:hint="default"/>
      </w:rPr>
    </w:lvl>
    <w:lvl w:ilvl="8" w:tplc="93D8598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D90006C"/>
    <w:multiLevelType w:val="hybridMultilevel"/>
    <w:tmpl w:val="1E145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6F"/>
    <w:rsid w:val="000A1CDA"/>
    <w:rsid w:val="000B0D36"/>
    <w:rsid w:val="00112FE0"/>
    <w:rsid w:val="00145AE6"/>
    <w:rsid w:val="001A31A6"/>
    <w:rsid w:val="001B2A50"/>
    <w:rsid w:val="001E6487"/>
    <w:rsid w:val="002A0A9C"/>
    <w:rsid w:val="002A45CE"/>
    <w:rsid w:val="002C30A6"/>
    <w:rsid w:val="002D63A6"/>
    <w:rsid w:val="003B016B"/>
    <w:rsid w:val="003C195E"/>
    <w:rsid w:val="003F1018"/>
    <w:rsid w:val="003F6CC6"/>
    <w:rsid w:val="00443B1E"/>
    <w:rsid w:val="004A2A31"/>
    <w:rsid w:val="004C54A7"/>
    <w:rsid w:val="004E1C15"/>
    <w:rsid w:val="00562BE9"/>
    <w:rsid w:val="00593083"/>
    <w:rsid w:val="005E00B4"/>
    <w:rsid w:val="005F606F"/>
    <w:rsid w:val="0066101A"/>
    <w:rsid w:val="00683CC7"/>
    <w:rsid w:val="006B3599"/>
    <w:rsid w:val="006C1E07"/>
    <w:rsid w:val="006D76F6"/>
    <w:rsid w:val="006F106E"/>
    <w:rsid w:val="007062AE"/>
    <w:rsid w:val="007142FA"/>
    <w:rsid w:val="007418D6"/>
    <w:rsid w:val="007816B4"/>
    <w:rsid w:val="008245E0"/>
    <w:rsid w:val="008366FB"/>
    <w:rsid w:val="00867944"/>
    <w:rsid w:val="008F10AB"/>
    <w:rsid w:val="008F1F48"/>
    <w:rsid w:val="009C0851"/>
    <w:rsid w:val="00A10140"/>
    <w:rsid w:val="00A13B7D"/>
    <w:rsid w:val="00A26E9F"/>
    <w:rsid w:val="00A708E5"/>
    <w:rsid w:val="00A72F5B"/>
    <w:rsid w:val="00AB7BDB"/>
    <w:rsid w:val="00B615B6"/>
    <w:rsid w:val="00B76BD1"/>
    <w:rsid w:val="00BE66EE"/>
    <w:rsid w:val="00D35405"/>
    <w:rsid w:val="00DB3A5C"/>
    <w:rsid w:val="00DE5504"/>
    <w:rsid w:val="00E12986"/>
    <w:rsid w:val="00E316DC"/>
    <w:rsid w:val="00E33EAB"/>
    <w:rsid w:val="00F1106F"/>
    <w:rsid w:val="00F12E7D"/>
    <w:rsid w:val="00F33F66"/>
    <w:rsid w:val="00F57C89"/>
    <w:rsid w:val="00F67BF4"/>
    <w:rsid w:val="00FD60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23363D2"/>
  <w15:docId w15:val="{AA2D4B14-FC1E-AE47-9E60-304A625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0A6"/>
    <w:rPr>
      <w:lang w:val="en-GB"/>
    </w:rPr>
  </w:style>
  <w:style w:type="paragraph" w:styleId="Heading1">
    <w:name w:val="heading 1"/>
    <w:basedOn w:val="Normal"/>
    <w:next w:val="Normal"/>
    <w:link w:val="Heading1Char"/>
    <w:autoRedefine/>
    <w:uiPriority w:val="9"/>
    <w:qFormat/>
    <w:rsid w:val="002C30A6"/>
    <w:pPr>
      <w:keepNext/>
      <w:keepLines/>
      <w:spacing w:before="240"/>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A708E5"/>
    <w:pPr>
      <w:suppressAutoHyphens/>
      <w:spacing w:after="200" w:line="300" w:lineRule="exact"/>
    </w:pPr>
    <w:rPr>
      <w:rFonts w:ascii="Arial" w:hAnsi="Arial" w:cs="Arial"/>
    </w:rPr>
  </w:style>
  <w:style w:type="paragraph" w:customStyle="1" w:styleId="1pageheading">
    <w:name w:val="1_page heading"/>
    <w:basedOn w:val="Normal"/>
    <w:qFormat/>
    <w:rsid w:val="000A1CDA"/>
    <w:pPr>
      <w:spacing w:after="420" w:line="420" w:lineRule="exact"/>
    </w:pPr>
    <w:rPr>
      <w:rFonts w:ascii="Century Gothic" w:eastAsiaTheme="minorHAnsi" w:hAnsi="Century Gothic"/>
      <w:color w:val="3C3C3B"/>
      <w:sz w:val="32"/>
      <w:szCs w:val="32"/>
      <w:u w:val="single" w:color="E17CA6"/>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7062AE"/>
    <w:pPr>
      <w:widowControl w:val="0"/>
      <w:autoSpaceDE w:val="0"/>
      <w:autoSpaceDN w:val="0"/>
    </w:pPr>
    <w:rPr>
      <w:rFonts w:ascii="Georgia" w:eastAsia="MetaSerifPro-Book" w:hAnsi="Georgia" w:cs="MetaSerifPro-Book"/>
      <w:sz w:val="20"/>
      <w:szCs w:val="20"/>
      <w:lang w:eastAsia="en-GB" w:bidi="en-GB"/>
    </w:rPr>
  </w:style>
  <w:style w:type="character" w:customStyle="1" w:styleId="BodyTextChar">
    <w:name w:val="Body Text Char"/>
    <w:basedOn w:val="DefaultParagraphFont"/>
    <w:link w:val="BodyText"/>
    <w:uiPriority w:val="1"/>
    <w:rsid w:val="007062AE"/>
    <w:rPr>
      <w:rFonts w:ascii="Georgia" w:eastAsia="MetaSerifPro-Book" w:hAnsi="Georgia" w:cs="MetaSerifPro-Book"/>
      <w:sz w:val="20"/>
      <w:szCs w:val="20"/>
      <w:lang w:val="en-GB" w:eastAsia="en-GB" w:bidi="en-GB"/>
    </w:rPr>
  </w:style>
  <w:style w:type="paragraph" w:styleId="FootnoteText">
    <w:name w:val="footnote text"/>
    <w:basedOn w:val="Normal"/>
    <w:link w:val="FootnoteTextChar"/>
    <w:uiPriority w:val="99"/>
    <w:unhideWhenUsed/>
    <w:rsid w:val="00F67BF4"/>
    <w:pPr>
      <w:widowControl w:val="0"/>
      <w:autoSpaceDE w:val="0"/>
      <w:autoSpaceDN w:val="0"/>
    </w:pPr>
    <w:rPr>
      <w:rFonts w:ascii="Georgia" w:eastAsia="MetaSerifPro-Book" w:hAnsi="Georgia" w:cs="MetaSerifPro-Book"/>
      <w:sz w:val="14"/>
      <w:lang w:eastAsia="en-GB" w:bidi="en-GB"/>
    </w:rPr>
  </w:style>
  <w:style w:type="character" w:customStyle="1" w:styleId="FootnoteTextChar">
    <w:name w:val="Footnote Text Char"/>
    <w:basedOn w:val="DefaultParagraphFont"/>
    <w:link w:val="FootnoteText"/>
    <w:uiPriority w:val="99"/>
    <w:rsid w:val="00F67BF4"/>
    <w:rPr>
      <w:rFonts w:ascii="Georgia" w:eastAsia="MetaSerifPro-Book" w:hAnsi="Georgia" w:cs="MetaSerifPro-Book"/>
      <w:sz w:val="14"/>
      <w:lang w:val="en-GB" w:eastAsia="en-GB" w:bidi="en-GB"/>
    </w:rPr>
  </w:style>
  <w:style w:type="paragraph" w:styleId="Header">
    <w:name w:val="header"/>
    <w:basedOn w:val="Normal"/>
    <w:link w:val="HeaderChar"/>
    <w:uiPriority w:val="99"/>
    <w:unhideWhenUsed/>
    <w:rsid w:val="006F106E"/>
    <w:pPr>
      <w:tabs>
        <w:tab w:val="center" w:pos="4320"/>
        <w:tab w:val="right" w:pos="8640"/>
      </w:tabs>
    </w:pPr>
  </w:style>
  <w:style w:type="character" w:customStyle="1" w:styleId="HeaderChar">
    <w:name w:val="Header Char"/>
    <w:basedOn w:val="DefaultParagraphFont"/>
    <w:link w:val="Header"/>
    <w:uiPriority w:val="99"/>
    <w:rsid w:val="006F106E"/>
  </w:style>
  <w:style w:type="paragraph" w:styleId="Footer">
    <w:name w:val="footer"/>
    <w:basedOn w:val="Normal"/>
    <w:link w:val="FooterChar"/>
    <w:uiPriority w:val="99"/>
    <w:unhideWhenUsed/>
    <w:rsid w:val="006F106E"/>
    <w:pPr>
      <w:tabs>
        <w:tab w:val="center" w:pos="4320"/>
        <w:tab w:val="right" w:pos="8640"/>
      </w:tabs>
    </w:pPr>
  </w:style>
  <w:style w:type="character" w:customStyle="1" w:styleId="FooterChar">
    <w:name w:val="Footer Char"/>
    <w:basedOn w:val="DefaultParagraphFont"/>
    <w:link w:val="Footer"/>
    <w:uiPriority w:val="99"/>
    <w:rsid w:val="006F106E"/>
  </w:style>
  <w:style w:type="paragraph" w:customStyle="1" w:styleId="BasicParagraph">
    <w:name w:val="[Basic Paragraph]"/>
    <w:basedOn w:val="Normal"/>
    <w:uiPriority w:val="99"/>
    <w:rsid w:val="006F10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FD6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01D"/>
    <w:rPr>
      <w:rFonts w:ascii="Lucida Grande" w:hAnsi="Lucida Grande" w:cs="Lucida Grande"/>
      <w:sz w:val="18"/>
      <w:szCs w:val="18"/>
    </w:rPr>
  </w:style>
  <w:style w:type="paragraph" w:customStyle="1" w:styleId="Letterbody">
    <w:name w:val="Letter_body"/>
    <w:basedOn w:val="Normal"/>
    <w:qFormat/>
    <w:rsid w:val="00145AE6"/>
    <w:pPr>
      <w:spacing w:line="288" w:lineRule="exact"/>
    </w:pPr>
    <w:rPr>
      <w:rFonts w:ascii="Helvetica Light" w:hAnsi="Helvetica Light"/>
    </w:rPr>
  </w:style>
  <w:style w:type="paragraph" w:customStyle="1" w:styleId="ProsperHeading1">
    <w:name w:val="Prosper Heading 1"/>
    <w:basedOn w:val="Letterbody"/>
    <w:qFormat/>
    <w:rsid w:val="00AB7BDB"/>
    <w:rPr>
      <w:rFonts w:ascii="Arial" w:hAnsi="Arial"/>
      <w:sz w:val="32"/>
    </w:rPr>
  </w:style>
  <w:style w:type="character" w:customStyle="1" w:styleId="Heading1Char">
    <w:name w:val="Heading 1 Char"/>
    <w:basedOn w:val="DefaultParagraphFont"/>
    <w:link w:val="Heading1"/>
    <w:uiPriority w:val="9"/>
    <w:rsid w:val="002C30A6"/>
    <w:rPr>
      <w:rFonts w:ascii="Arial" w:eastAsiaTheme="majorEastAsia" w:hAnsi="Arial" w:cstheme="majorBidi"/>
      <w:sz w:val="32"/>
      <w:szCs w:val="32"/>
    </w:rPr>
  </w:style>
  <w:style w:type="paragraph" w:customStyle="1" w:styleId="ProsperHeading2">
    <w:name w:val="Prosper Heading 2"/>
    <w:basedOn w:val="ProsperHeading1"/>
    <w:qFormat/>
    <w:rsid w:val="00AB7BDB"/>
    <w:rPr>
      <w:sz w:val="28"/>
    </w:rPr>
  </w:style>
  <w:style w:type="paragraph" w:customStyle="1" w:styleId="Prosperbodytext">
    <w:name w:val="Prosper body text"/>
    <w:basedOn w:val="ProsperHeading2"/>
    <w:qFormat/>
    <w:rsid w:val="00AB7BDB"/>
    <w:rPr>
      <w:sz w:val="24"/>
    </w:rPr>
  </w:style>
  <w:style w:type="paragraph" w:customStyle="1" w:styleId="Prosperfootertext">
    <w:name w:val="Prosper footer text"/>
    <w:basedOn w:val="Prosperbodytext"/>
    <w:qFormat/>
    <w:rsid w:val="00AB7BDB"/>
    <w:rPr>
      <w:noProof/>
      <w:sz w:val="16"/>
    </w:rPr>
  </w:style>
  <w:style w:type="paragraph" w:customStyle="1" w:styleId="ProsperHeading3">
    <w:name w:val="Prosper Heading 3"/>
    <w:basedOn w:val="Prosperbodytext"/>
    <w:qFormat/>
    <w:rsid w:val="004C54A7"/>
    <w:rPr>
      <w:sz w:val="26"/>
    </w:rPr>
  </w:style>
  <w:style w:type="character" w:styleId="Hyperlink">
    <w:name w:val="Hyperlink"/>
    <w:basedOn w:val="DefaultParagraphFont"/>
    <w:uiPriority w:val="99"/>
    <w:unhideWhenUsed/>
    <w:rsid w:val="008366FB"/>
    <w:rPr>
      <w:color w:val="0000FF"/>
      <w:u w:val="single"/>
    </w:rPr>
  </w:style>
  <w:style w:type="character" w:styleId="UnresolvedMention">
    <w:name w:val="Unresolved Mention"/>
    <w:basedOn w:val="DefaultParagraphFont"/>
    <w:uiPriority w:val="99"/>
    <w:semiHidden/>
    <w:unhideWhenUsed/>
    <w:rsid w:val="00867944"/>
    <w:rPr>
      <w:color w:val="605E5C"/>
      <w:shd w:val="clear" w:color="auto" w:fill="E1DFDD"/>
    </w:rPr>
  </w:style>
  <w:style w:type="paragraph" w:styleId="ListParagraph">
    <w:name w:val="List Paragraph"/>
    <w:basedOn w:val="Normal"/>
    <w:uiPriority w:val="34"/>
    <w:qFormat/>
    <w:rsid w:val="005F606F"/>
    <w:pPr>
      <w:spacing w:after="160" w:line="259" w:lineRule="auto"/>
      <w:ind w:left="720"/>
      <w:contextualSpacing/>
    </w:pPr>
    <w:rPr>
      <w:rFonts w:eastAsiaTheme="minorHAnsi"/>
      <w:sz w:val="22"/>
      <w:szCs w:val="22"/>
    </w:rPr>
  </w:style>
  <w:style w:type="paragraph" w:customStyle="1" w:styleId="paragraph">
    <w:name w:val="paragraph"/>
    <w:basedOn w:val="Normal"/>
    <w:rsid w:val="008F1F4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F1F48"/>
  </w:style>
  <w:style w:type="character" w:customStyle="1" w:styleId="eop">
    <w:name w:val="eop"/>
    <w:basedOn w:val="DefaultParagraphFont"/>
    <w:rsid w:val="008F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43125">
      <w:bodyDiv w:val="1"/>
      <w:marLeft w:val="0"/>
      <w:marRight w:val="0"/>
      <w:marTop w:val="0"/>
      <w:marBottom w:val="0"/>
      <w:divBdr>
        <w:top w:val="none" w:sz="0" w:space="0" w:color="auto"/>
        <w:left w:val="none" w:sz="0" w:space="0" w:color="auto"/>
        <w:bottom w:val="none" w:sz="0" w:space="0" w:color="auto"/>
        <w:right w:val="none" w:sz="0" w:space="0" w:color="auto"/>
      </w:divBdr>
      <w:divsChild>
        <w:div w:id="1520894627">
          <w:marLeft w:val="0"/>
          <w:marRight w:val="0"/>
          <w:marTop w:val="0"/>
          <w:marBottom w:val="0"/>
          <w:divBdr>
            <w:top w:val="none" w:sz="0" w:space="0" w:color="auto"/>
            <w:left w:val="none" w:sz="0" w:space="0" w:color="auto"/>
            <w:bottom w:val="none" w:sz="0" w:space="0" w:color="auto"/>
            <w:right w:val="none" w:sz="0" w:space="0" w:color="auto"/>
          </w:divBdr>
        </w:div>
        <w:div w:id="562981471">
          <w:marLeft w:val="0"/>
          <w:marRight w:val="0"/>
          <w:marTop w:val="0"/>
          <w:marBottom w:val="0"/>
          <w:divBdr>
            <w:top w:val="none" w:sz="0" w:space="0" w:color="auto"/>
            <w:left w:val="none" w:sz="0" w:space="0" w:color="auto"/>
            <w:bottom w:val="none" w:sz="0" w:space="0" w:color="auto"/>
            <w:right w:val="none" w:sz="0" w:space="0" w:color="auto"/>
          </w:divBdr>
        </w:div>
      </w:divsChild>
    </w:div>
    <w:div w:id="1564876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worklife/article/20180914-the-trick-to-learning-when-to-cut-your-losses" TargetMode="External"/><Relationship Id="rId13" Type="http://schemas.openxmlformats.org/officeDocument/2006/relationships/hyperlink" Target="https://www.science.org/content/article/my-first-postdoc-position-was-disaster-what-i-learne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d.com/talks/emilie_wapnick_why_some_of_us_don_t_have_one_true_calling/transcript?language=en" TargetMode="External"/><Relationship Id="rId17" Type="http://schemas.openxmlformats.org/officeDocument/2006/relationships/hyperlink" Target="https://hbr.org/2021/07/how-susceptible-are-you-to-the-sunk-cost-fallacy" TargetMode="External"/><Relationship Id="rId2" Type="http://schemas.openxmlformats.org/officeDocument/2006/relationships/numbering" Target="numbering.xml"/><Relationship Id="rId16" Type="http://schemas.openxmlformats.org/officeDocument/2006/relationships/hyperlink" Target="https://learnloft.com/2017/03/08/why-perseverance-might-actually-be-hurting-your-care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worklife/article/20180914-the-trick-to-learning-when-to-cut-your-losses" TargetMode="External"/><Relationship Id="rId5" Type="http://schemas.openxmlformats.org/officeDocument/2006/relationships/webSettings" Target="webSettings.xml"/><Relationship Id="rId15" Type="http://schemas.openxmlformats.org/officeDocument/2006/relationships/hyperlink" Target="https://www.timeshighereducation.com/campus/sunk-cost-fallacy-sinking-your-career" TargetMode="External"/><Relationship Id="rId10" Type="http://schemas.openxmlformats.org/officeDocument/2006/relationships/hyperlink" Target="-%09Assess%20your%20present%20skills%20without%20thinking%20about%20how%20you%20got%20them.%20Pretend%20you%20just%20woke%20up%20one%20day%20with%20this%20skill-s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erblogski.wordpress.com/2018/12/23/changing-direction-can-be-the-rational-choice%EF%BC%8Dhow-to-base-career-decisions-on-your-present-not-your-past/" TargetMode="External"/><Relationship Id="rId14" Type="http://schemas.openxmlformats.org/officeDocument/2006/relationships/hyperlink" Target="https://www.pushkin.fm/podcasts/a-slight-change-of-plans/the-science-of-quitt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2" tIns="0" rIns="0" bIns="0"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55FF-5963-476E-81A3-55AF01E5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Willett</dc:creator>
  <cp:keywords/>
  <dc:description/>
  <cp:lastModifiedBy>McBride, Fiona [fmcbride]</cp:lastModifiedBy>
  <cp:revision>5</cp:revision>
  <dcterms:created xsi:type="dcterms:W3CDTF">2022-07-22T16:13:00Z</dcterms:created>
  <dcterms:modified xsi:type="dcterms:W3CDTF">2023-05-30T10:33:00Z</dcterms:modified>
</cp:coreProperties>
</file>